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6F7" w:rsidRPr="00D80383" w:rsidRDefault="007C66F7" w:rsidP="007C66F7">
      <w:pPr>
        <w:ind w:firstLine="708"/>
        <w:jc w:val="both"/>
        <w:rPr>
          <w:b/>
          <w:sz w:val="28"/>
          <w:szCs w:val="28"/>
        </w:rPr>
      </w:pPr>
      <w:r w:rsidRPr="00D80383">
        <w:rPr>
          <w:b/>
          <w:sz w:val="28"/>
          <w:szCs w:val="28"/>
        </w:rPr>
        <w:t>Практика № 1</w:t>
      </w:r>
    </w:p>
    <w:p w:rsidR="007C66F7" w:rsidRPr="00D80383" w:rsidRDefault="007C66F7" w:rsidP="007C66F7">
      <w:pPr>
        <w:ind w:firstLine="708"/>
        <w:jc w:val="both"/>
        <w:rPr>
          <w:b/>
          <w:sz w:val="16"/>
          <w:szCs w:val="16"/>
        </w:rPr>
      </w:pPr>
    </w:p>
    <w:p w:rsidR="007C66F7" w:rsidRDefault="007C66F7" w:rsidP="007C66F7">
      <w:pPr>
        <w:ind w:hanging="36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</w:t>
      </w:r>
      <w:r w:rsidRPr="006C603F">
        <w:rPr>
          <w:b/>
          <w:sz w:val="30"/>
          <w:szCs w:val="30"/>
        </w:rPr>
        <w:t xml:space="preserve"> Удобрение яровых зерновых  и  зернобобовых культур</w:t>
      </w:r>
    </w:p>
    <w:p w:rsidR="007C66F7" w:rsidRPr="0064197B" w:rsidRDefault="007C66F7" w:rsidP="007C66F7">
      <w:pPr>
        <w:ind w:hanging="360"/>
        <w:jc w:val="both"/>
        <w:rPr>
          <w:b/>
          <w:sz w:val="16"/>
          <w:szCs w:val="16"/>
        </w:rPr>
      </w:pP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К яровым зерновым культурам относятся: колосовые – яровые пшеница, ячмень и овес; кукуруза.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Основными зонами производства товарного зерна яровой пшеницы являются Поволжье, Урал, Западная и Восточная Сибирь. Яровые ячмень и овес возделывают почти повсеместно.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Овес менее требовательный к плодородию почв и кислотности почвы. Он хорошо удается на среднекислых почвах и может произрастать на супесчаных.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 xml:space="preserve">Для яровых пшеницы и ячменя необходимы более плодородные почвы и реакция среды, близкая </w:t>
      </w:r>
      <w:proofErr w:type="gramStart"/>
      <w:r w:rsidRPr="006C603F">
        <w:rPr>
          <w:sz w:val="30"/>
          <w:szCs w:val="30"/>
        </w:rPr>
        <w:t>к</w:t>
      </w:r>
      <w:proofErr w:type="gramEnd"/>
      <w:r w:rsidRPr="006C603F">
        <w:rPr>
          <w:sz w:val="30"/>
          <w:szCs w:val="30"/>
        </w:rPr>
        <w:t xml:space="preserve"> нейтральной, или нейтральная. Они более чувствительны к реакции почвенного раствора, чем овес, у которого корни проникают на большую глубину и способны извлекать питательные элементы из труднорастворимых соединений почвы.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Потребность питательных веществ у яровых колосовых культур наиболее интенсивно происходит в фазы выхода в трубку и колошения (таблица 1).</w:t>
      </w:r>
    </w:p>
    <w:p w:rsidR="007C66F7" w:rsidRPr="007167A4" w:rsidRDefault="007C66F7" w:rsidP="007C66F7">
      <w:pPr>
        <w:rPr>
          <w:sz w:val="16"/>
          <w:szCs w:val="16"/>
        </w:rPr>
      </w:pPr>
    </w:p>
    <w:p w:rsidR="007C66F7" w:rsidRPr="0064197B" w:rsidRDefault="007C66F7" w:rsidP="007C66F7">
      <w:pPr>
        <w:ind w:firstLine="708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Таблица 1</w:t>
      </w:r>
    </w:p>
    <w:p w:rsidR="007C66F7" w:rsidRPr="0064197B" w:rsidRDefault="007C66F7" w:rsidP="007C66F7">
      <w:pPr>
        <w:ind w:firstLine="708"/>
        <w:jc w:val="center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Динамика поступления питательных веществ в яровые зерновые культуры, (</w:t>
      </w:r>
      <w:proofErr w:type="gramStart"/>
      <w:r w:rsidRPr="0064197B">
        <w:rPr>
          <w:b/>
          <w:sz w:val="30"/>
          <w:szCs w:val="30"/>
        </w:rPr>
        <w:t>в</w:t>
      </w:r>
      <w:proofErr w:type="gramEnd"/>
      <w:r w:rsidRPr="0064197B">
        <w:rPr>
          <w:b/>
          <w:sz w:val="30"/>
          <w:szCs w:val="30"/>
        </w:rPr>
        <w:t xml:space="preserve"> % от максимального)</w:t>
      </w:r>
    </w:p>
    <w:p w:rsidR="007C66F7" w:rsidRPr="0064197B" w:rsidRDefault="007C66F7" w:rsidP="007C66F7">
      <w:pPr>
        <w:ind w:firstLine="708"/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1260"/>
        <w:gridCol w:w="900"/>
        <w:gridCol w:w="900"/>
        <w:gridCol w:w="900"/>
        <w:gridCol w:w="900"/>
        <w:gridCol w:w="900"/>
        <w:gridCol w:w="1080"/>
      </w:tblGrid>
      <w:tr w:rsidR="007C66F7" w:rsidRPr="007C6859" w:rsidTr="00776435">
        <w:tc>
          <w:tcPr>
            <w:tcW w:w="2808" w:type="dxa"/>
            <w:vMerge w:val="restart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Фазы развития</w:t>
            </w:r>
          </w:p>
        </w:tc>
        <w:tc>
          <w:tcPr>
            <w:tcW w:w="3960" w:type="dxa"/>
            <w:gridSpan w:val="4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Яровая пшеница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Овес</w:t>
            </w:r>
          </w:p>
        </w:tc>
      </w:tr>
      <w:tr w:rsidR="007C66F7" w:rsidRPr="007C6859" w:rsidTr="00776435">
        <w:trPr>
          <w:cantSplit/>
          <w:trHeight w:val="1312"/>
        </w:trPr>
        <w:tc>
          <w:tcPr>
            <w:tcW w:w="2808" w:type="dxa"/>
            <w:vMerge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Cs w:val="30"/>
              </w:rPr>
              <w:t>сухое вещество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N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  <w:r w:rsidRPr="007C6859">
              <w:rPr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N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  <w:r w:rsidRPr="007C6859">
              <w:rPr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</w:tr>
      <w:tr w:rsidR="007C66F7" w:rsidRPr="007C6859" w:rsidTr="00776435">
        <w:trPr>
          <w:trHeight w:val="2552"/>
        </w:trPr>
        <w:tc>
          <w:tcPr>
            <w:tcW w:w="280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Кущение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Выход в трубку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Колошение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Цветение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Молочная спелость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Полная спелость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77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33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65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87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42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57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73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85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97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37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68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88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87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51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82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36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71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83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88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83</w:t>
            </w:r>
          </w:p>
        </w:tc>
      </w:tr>
    </w:tbl>
    <w:p w:rsidR="007C66F7" w:rsidRPr="007167A4" w:rsidRDefault="007C66F7" w:rsidP="007C66F7">
      <w:pPr>
        <w:jc w:val="both"/>
        <w:rPr>
          <w:sz w:val="16"/>
          <w:szCs w:val="16"/>
        </w:rPr>
      </w:pP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proofErr w:type="gramStart"/>
      <w:r w:rsidRPr="006C603F">
        <w:rPr>
          <w:sz w:val="30"/>
          <w:szCs w:val="30"/>
        </w:rPr>
        <w:t xml:space="preserve">На 1 тонну зерна с соответствующим количеством соломы яровые колосовые выносят следующие количества питательных элементов: яровая пшеница: </w:t>
      </w:r>
      <w:smartTag w:uri="urn:schemas-microsoft-com:office:smarttags" w:element="metricconverter">
        <w:smartTagPr>
          <w:attr w:name="ProductID" w:val="38 кг"/>
        </w:smartTagPr>
        <w:r w:rsidRPr="006C603F">
          <w:rPr>
            <w:sz w:val="30"/>
            <w:szCs w:val="30"/>
          </w:rPr>
          <w:t>38 кг</w:t>
        </w:r>
      </w:smartTag>
      <w:r w:rsidRPr="006C603F">
        <w:rPr>
          <w:sz w:val="30"/>
          <w:szCs w:val="30"/>
        </w:rPr>
        <w:t xml:space="preserve"> </w:t>
      </w:r>
      <w:r w:rsidRPr="006C603F">
        <w:rPr>
          <w:sz w:val="30"/>
          <w:szCs w:val="30"/>
          <w:lang w:val="en-US"/>
        </w:rPr>
        <w:t>N</w:t>
      </w:r>
      <w:r w:rsidRPr="006C603F">
        <w:rPr>
          <w:sz w:val="30"/>
          <w:szCs w:val="30"/>
        </w:rPr>
        <w:t xml:space="preserve">, </w:t>
      </w:r>
      <w:smartTag w:uri="urn:schemas-microsoft-com:office:smarttags" w:element="metricconverter">
        <w:smartTagPr>
          <w:attr w:name="ProductID" w:val="12 кг"/>
        </w:smartTagPr>
        <w:r w:rsidRPr="006C603F">
          <w:rPr>
            <w:sz w:val="30"/>
            <w:szCs w:val="30"/>
          </w:rPr>
          <w:t>12 кг</w:t>
        </w:r>
      </w:smartTag>
      <w:r w:rsidRPr="006C603F">
        <w:rPr>
          <w:sz w:val="30"/>
          <w:szCs w:val="30"/>
        </w:rPr>
        <w:t xml:space="preserve"> Р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>О</w:t>
      </w:r>
      <w:r w:rsidRPr="006C603F">
        <w:rPr>
          <w:sz w:val="30"/>
          <w:szCs w:val="30"/>
          <w:vertAlign w:val="subscript"/>
        </w:rPr>
        <w:t>5</w:t>
      </w:r>
      <w:r w:rsidRPr="006C603F">
        <w:rPr>
          <w:sz w:val="30"/>
          <w:szCs w:val="30"/>
        </w:rPr>
        <w:t xml:space="preserve"> и </w:t>
      </w:r>
      <w:smartTag w:uri="urn:schemas-microsoft-com:office:smarttags" w:element="metricconverter">
        <w:smartTagPr>
          <w:attr w:name="ProductID" w:val="25 кг"/>
        </w:smartTagPr>
        <w:r w:rsidRPr="006C603F">
          <w:rPr>
            <w:sz w:val="30"/>
            <w:szCs w:val="30"/>
          </w:rPr>
          <w:t>25 кг</w:t>
        </w:r>
      </w:smartTag>
      <w:r w:rsidRPr="006C603F">
        <w:rPr>
          <w:sz w:val="30"/>
          <w:szCs w:val="30"/>
        </w:rPr>
        <w:t xml:space="preserve"> К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 xml:space="preserve">О; яровой ячмень: </w:t>
      </w:r>
      <w:smartTag w:uri="urn:schemas-microsoft-com:office:smarttags" w:element="metricconverter">
        <w:smartTagPr>
          <w:attr w:name="ProductID" w:val="27 кг"/>
        </w:smartTagPr>
        <w:r w:rsidRPr="006C603F">
          <w:rPr>
            <w:sz w:val="30"/>
            <w:szCs w:val="30"/>
          </w:rPr>
          <w:t>27 кг</w:t>
        </w:r>
      </w:smartTag>
      <w:r w:rsidRPr="006C603F">
        <w:rPr>
          <w:sz w:val="30"/>
          <w:szCs w:val="30"/>
        </w:rPr>
        <w:t xml:space="preserve"> </w:t>
      </w:r>
      <w:r w:rsidRPr="006C603F">
        <w:rPr>
          <w:sz w:val="30"/>
          <w:szCs w:val="30"/>
          <w:lang w:val="en-US"/>
        </w:rPr>
        <w:t>N</w:t>
      </w:r>
      <w:r w:rsidRPr="006C603F">
        <w:rPr>
          <w:sz w:val="30"/>
          <w:szCs w:val="30"/>
        </w:rPr>
        <w:t xml:space="preserve">, </w:t>
      </w:r>
      <w:smartTag w:uri="urn:schemas-microsoft-com:office:smarttags" w:element="metricconverter">
        <w:smartTagPr>
          <w:attr w:name="ProductID" w:val="11 кг"/>
        </w:smartTagPr>
        <w:r w:rsidRPr="006C603F">
          <w:rPr>
            <w:sz w:val="30"/>
            <w:szCs w:val="30"/>
          </w:rPr>
          <w:t>11 кг</w:t>
        </w:r>
      </w:smartTag>
      <w:r w:rsidRPr="006C603F">
        <w:rPr>
          <w:sz w:val="30"/>
          <w:szCs w:val="30"/>
        </w:rPr>
        <w:t xml:space="preserve"> Р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>О</w:t>
      </w:r>
      <w:r w:rsidRPr="006C603F">
        <w:rPr>
          <w:sz w:val="30"/>
          <w:szCs w:val="30"/>
          <w:vertAlign w:val="subscript"/>
        </w:rPr>
        <w:t>5</w:t>
      </w:r>
      <w:r w:rsidRPr="006C603F">
        <w:rPr>
          <w:sz w:val="30"/>
          <w:szCs w:val="30"/>
        </w:rPr>
        <w:t xml:space="preserve"> и </w:t>
      </w:r>
      <w:smartTag w:uri="urn:schemas-microsoft-com:office:smarttags" w:element="metricconverter">
        <w:smartTagPr>
          <w:attr w:name="ProductID" w:val="24 кг"/>
        </w:smartTagPr>
        <w:r w:rsidRPr="006C603F">
          <w:rPr>
            <w:sz w:val="30"/>
            <w:szCs w:val="30"/>
          </w:rPr>
          <w:t>24 кг</w:t>
        </w:r>
      </w:smartTag>
      <w:r w:rsidRPr="006C603F">
        <w:rPr>
          <w:sz w:val="30"/>
          <w:szCs w:val="30"/>
        </w:rPr>
        <w:t xml:space="preserve"> К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 xml:space="preserve">О; яровой овес: </w:t>
      </w:r>
      <w:smartTag w:uri="urn:schemas-microsoft-com:office:smarttags" w:element="metricconverter">
        <w:smartTagPr>
          <w:attr w:name="ProductID" w:val="30 кг"/>
        </w:smartTagPr>
        <w:r w:rsidRPr="006C603F">
          <w:rPr>
            <w:sz w:val="30"/>
            <w:szCs w:val="30"/>
          </w:rPr>
          <w:t>30 кг</w:t>
        </w:r>
      </w:smartTag>
      <w:r w:rsidRPr="006C603F">
        <w:rPr>
          <w:sz w:val="30"/>
          <w:szCs w:val="30"/>
        </w:rPr>
        <w:t xml:space="preserve"> </w:t>
      </w:r>
      <w:r w:rsidRPr="006C603F">
        <w:rPr>
          <w:sz w:val="30"/>
          <w:szCs w:val="30"/>
          <w:lang w:val="en-US"/>
        </w:rPr>
        <w:t>N</w:t>
      </w:r>
      <w:r w:rsidRPr="006C603F">
        <w:rPr>
          <w:sz w:val="30"/>
          <w:szCs w:val="30"/>
        </w:rPr>
        <w:t xml:space="preserve">, </w:t>
      </w:r>
      <w:smartTag w:uri="urn:schemas-microsoft-com:office:smarttags" w:element="metricconverter">
        <w:smartTagPr>
          <w:attr w:name="ProductID" w:val="13 кг"/>
        </w:smartTagPr>
        <w:r w:rsidRPr="006C603F">
          <w:rPr>
            <w:sz w:val="30"/>
            <w:szCs w:val="30"/>
          </w:rPr>
          <w:t>13 кг</w:t>
        </w:r>
      </w:smartTag>
      <w:r w:rsidRPr="006C603F">
        <w:rPr>
          <w:sz w:val="30"/>
          <w:szCs w:val="30"/>
        </w:rPr>
        <w:t xml:space="preserve"> Р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>О</w:t>
      </w:r>
      <w:r w:rsidRPr="006C603F">
        <w:rPr>
          <w:sz w:val="30"/>
          <w:szCs w:val="30"/>
          <w:vertAlign w:val="subscript"/>
        </w:rPr>
        <w:t>5</w:t>
      </w:r>
      <w:r w:rsidRPr="006C603F">
        <w:rPr>
          <w:sz w:val="30"/>
          <w:szCs w:val="30"/>
        </w:rPr>
        <w:t xml:space="preserve"> и </w:t>
      </w:r>
      <w:smartTag w:uri="urn:schemas-microsoft-com:office:smarttags" w:element="metricconverter">
        <w:smartTagPr>
          <w:attr w:name="ProductID" w:val="29 кг"/>
        </w:smartTagPr>
        <w:r w:rsidRPr="006C603F">
          <w:rPr>
            <w:sz w:val="30"/>
            <w:szCs w:val="30"/>
          </w:rPr>
          <w:t>29 кг</w:t>
        </w:r>
      </w:smartTag>
      <w:r w:rsidRPr="006C603F">
        <w:rPr>
          <w:sz w:val="30"/>
          <w:szCs w:val="30"/>
        </w:rPr>
        <w:t xml:space="preserve"> К</w:t>
      </w:r>
      <w:r w:rsidRPr="006C603F">
        <w:rPr>
          <w:sz w:val="30"/>
          <w:szCs w:val="30"/>
          <w:vertAlign w:val="subscript"/>
        </w:rPr>
        <w:t>2</w:t>
      </w:r>
      <w:r w:rsidRPr="006C603F">
        <w:rPr>
          <w:sz w:val="30"/>
          <w:szCs w:val="30"/>
        </w:rPr>
        <w:t>О.</w:t>
      </w:r>
      <w:proofErr w:type="gramEnd"/>
      <w:r w:rsidRPr="006C603F">
        <w:rPr>
          <w:sz w:val="30"/>
          <w:szCs w:val="30"/>
        </w:rPr>
        <w:t xml:space="preserve"> Отсюда вытекает, что яровая пшеница на создание единицы продукции </w:t>
      </w:r>
      <w:r w:rsidRPr="006C603F">
        <w:rPr>
          <w:sz w:val="30"/>
          <w:szCs w:val="30"/>
        </w:rPr>
        <w:lastRenderedPageBreak/>
        <w:t>потребляет в 1,3 раза больше азота, чем ячмень и овес, что необходимо учитывать при удобрении этих культур.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Лучшими предшественниками для яровых колосовых в Нечерноземной зоне европейской части страны являются хорошо удобренные пропашные культуры, пласт и оборот пласта многолетних трав, зернобобовые и удобренные озимые культуры.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В основных районах выращивания яровой пшеницы, где выпадает недостаточное количество осадков, лучшими предшественниками является чистый пар (Сибирь, Поволжье, Южный Урал). На Северном Кавказе и в Центральных Черноземных областях яровая пшеница дает хорошие урожаи после кукурузы, подсолнечника, картофеля, сахарной свеклы, зернобобовых и многолетних трав.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В Нечерноземной зоне, в северной части лесостепи на серых лесных почвах, оподзоленных и выщелоченных черноземах Зауралья и Восточной Сибири урожаи яровых колосовых в основном зависят от азотных удобрений.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 xml:space="preserve">Эффективность фосфорных удобрений значительно уступает </w:t>
      </w:r>
      <w:proofErr w:type="gramStart"/>
      <w:r w:rsidRPr="006C603F">
        <w:rPr>
          <w:sz w:val="30"/>
          <w:szCs w:val="30"/>
        </w:rPr>
        <w:t>азотным</w:t>
      </w:r>
      <w:proofErr w:type="gramEnd"/>
      <w:r w:rsidRPr="006C603F">
        <w:rPr>
          <w:sz w:val="30"/>
          <w:szCs w:val="30"/>
        </w:rPr>
        <w:t>, а калийные проявляют положительной действие только на легких почвах.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На обыкновенных черноземах Западной Сибири и Поволжья при недостаточном увлажнении урожай яровых колосовых повышается от внесения фосфорных и азотных удобрений.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В засушливых степных районах юга и юго-востока страны на обыкновенных почвах прибавки в урожае этих культур почти полностью зависит от фосфорных удобрений, азотные и калийные в этих условиях практически не действуют.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Яровые колосовые культуры хорошо отзываются на внесение органических удобрений, но, как правило, под эти культуры навоз не вносят.</w:t>
      </w:r>
    </w:p>
    <w:p w:rsidR="007C66F7" w:rsidRPr="006C603F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Если яровые зерновые культуры высеваются по чистому пару, хорошему пласту многолетних трав и зернобобовым культурам, то азотные удобрения или не вносятся совсем, или вносятся в малых количествах. Во всех этих случаях возрастает роль фосфорных удобрений.</w:t>
      </w:r>
    </w:p>
    <w:p w:rsidR="007C66F7" w:rsidRDefault="007C66F7" w:rsidP="007C66F7">
      <w:pPr>
        <w:ind w:firstLine="708"/>
        <w:jc w:val="both"/>
        <w:rPr>
          <w:sz w:val="30"/>
          <w:szCs w:val="30"/>
        </w:rPr>
      </w:pPr>
      <w:r w:rsidRPr="006C603F">
        <w:rPr>
          <w:sz w:val="30"/>
          <w:szCs w:val="30"/>
        </w:rPr>
        <w:t>Если же яровые колосовые выращиваются после недостаточно удобренного предшественника, выносящего из почвы с урожаем большое количество питательных элементов, повышается значение полного минерального удобрения (таблица).</w:t>
      </w:r>
    </w:p>
    <w:p w:rsidR="007C66F7" w:rsidRDefault="007C66F7" w:rsidP="007C66F7">
      <w:pPr>
        <w:ind w:firstLine="708"/>
        <w:rPr>
          <w:sz w:val="30"/>
          <w:szCs w:val="30"/>
        </w:rPr>
      </w:pPr>
    </w:p>
    <w:p w:rsidR="007C66F7" w:rsidRDefault="007C66F7" w:rsidP="007C66F7">
      <w:pPr>
        <w:ind w:firstLine="708"/>
        <w:rPr>
          <w:sz w:val="30"/>
          <w:szCs w:val="30"/>
        </w:rPr>
      </w:pPr>
    </w:p>
    <w:p w:rsidR="007C66F7" w:rsidRDefault="007C66F7" w:rsidP="007C66F7">
      <w:pPr>
        <w:ind w:firstLine="708"/>
        <w:rPr>
          <w:sz w:val="30"/>
          <w:szCs w:val="30"/>
        </w:rPr>
      </w:pPr>
    </w:p>
    <w:p w:rsidR="007C66F7" w:rsidRDefault="007C66F7" w:rsidP="007C66F7">
      <w:pPr>
        <w:ind w:firstLine="708"/>
        <w:rPr>
          <w:sz w:val="30"/>
          <w:szCs w:val="30"/>
        </w:rPr>
      </w:pPr>
    </w:p>
    <w:p w:rsidR="007C66F7" w:rsidRPr="006C603F" w:rsidRDefault="007C66F7" w:rsidP="007C66F7">
      <w:pPr>
        <w:ind w:firstLine="708"/>
        <w:rPr>
          <w:sz w:val="30"/>
          <w:szCs w:val="30"/>
        </w:rPr>
      </w:pPr>
      <w:r w:rsidRPr="006C603F">
        <w:rPr>
          <w:sz w:val="30"/>
          <w:szCs w:val="30"/>
        </w:rPr>
        <w:t>Таблица 2</w:t>
      </w:r>
    </w:p>
    <w:p w:rsidR="007C66F7" w:rsidRDefault="007C66F7" w:rsidP="007C66F7">
      <w:pPr>
        <w:jc w:val="center"/>
        <w:rPr>
          <w:sz w:val="30"/>
          <w:szCs w:val="30"/>
        </w:rPr>
      </w:pPr>
      <w:r w:rsidRPr="006C603F">
        <w:rPr>
          <w:sz w:val="30"/>
          <w:szCs w:val="30"/>
        </w:rPr>
        <w:t xml:space="preserve">Примерные нормы минеральных удобрений под </w:t>
      </w:r>
      <w:proofErr w:type="gramStart"/>
      <w:r w:rsidRPr="006C603F">
        <w:rPr>
          <w:sz w:val="30"/>
          <w:szCs w:val="30"/>
        </w:rPr>
        <w:t>яровую</w:t>
      </w:r>
      <w:proofErr w:type="gramEnd"/>
      <w:r w:rsidRPr="006C603F">
        <w:rPr>
          <w:sz w:val="30"/>
          <w:szCs w:val="30"/>
        </w:rPr>
        <w:t xml:space="preserve"> </w:t>
      </w:r>
    </w:p>
    <w:p w:rsidR="007C66F7" w:rsidRPr="006C603F" w:rsidRDefault="007C66F7" w:rsidP="007C66F7">
      <w:pPr>
        <w:jc w:val="center"/>
        <w:rPr>
          <w:sz w:val="30"/>
          <w:szCs w:val="30"/>
        </w:rPr>
      </w:pPr>
      <w:r w:rsidRPr="006C603F">
        <w:rPr>
          <w:sz w:val="30"/>
          <w:szCs w:val="30"/>
        </w:rPr>
        <w:t>пшеницу, кг/га д.</w:t>
      </w:r>
      <w:proofErr w:type="gramStart"/>
      <w:r w:rsidRPr="006C603F">
        <w:rPr>
          <w:sz w:val="30"/>
          <w:szCs w:val="30"/>
        </w:rPr>
        <w:t>в</w:t>
      </w:r>
      <w:proofErr w:type="gramEnd"/>
      <w:r w:rsidRPr="006C603F">
        <w:rPr>
          <w:sz w:val="30"/>
          <w:szCs w:val="30"/>
        </w:rPr>
        <w:t>.</w:t>
      </w:r>
    </w:p>
    <w:p w:rsidR="007C66F7" w:rsidRPr="007167A4" w:rsidRDefault="007C66F7" w:rsidP="007C66F7">
      <w:pPr>
        <w:jc w:val="center"/>
        <w:rPr>
          <w:sz w:val="16"/>
          <w:szCs w:val="16"/>
        </w:rPr>
      </w:pP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60"/>
        <w:gridCol w:w="1388"/>
        <w:gridCol w:w="1620"/>
        <w:gridCol w:w="1092"/>
      </w:tblGrid>
      <w:tr w:rsidR="007C66F7" w:rsidRPr="007C6859" w:rsidTr="00776435">
        <w:trPr>
          <w:trHeight w:val="913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Район, почвы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N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  <w:r w:rsidRPr="007C6859">
              <w:rPr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</w:tr>
      <w:tr w:rsidR="007C66F7" w:rsidRPr="007C6859" w:rsidTr="00776435">
        <w:trPr>
          <w:trHeight w:val="81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1. Центральные области, лесостепи, выщелоченные и мощные черноземы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30</w:t>
            </w:r>
          </w:p>
        </w:tc>
      </w:tr>
      <w:tr w:rsidR="007C66F7" w:rsidRPr="007C6859" w:rsidTr="00776435">
        <w:trPr>
          <w:trHeight w:val="122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2. Степные районы юга и юго-востока, южные черноземы и каштановые почвы при орошении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90-120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40</w:t>
            </w:r>
          </w:p>
        </w:tc>
      </w:tr>
      <w:tr w:rsidR="007C66F7" w:rsidRPr="007C6859" w:rsidTr="00776435">
        <w:trPr>
          <w:trHeight w:val="600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3. То же в условиях засоления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70-90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</w:tc>
      </w:tr>
      <w:tr w:rsidR="007C66F7" w:rsidRPr="007C6859" w:rsidTr="00776435">
        <w:trPr>
          <w:trHeight w:val="81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4. Обыкновенные черноземы при орошении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90-120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70-90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40</w:t>
            </w:r>
          </w:p>
        </w:tc>
      </w:tr>
      <w:tr w:rsidR="007C66F7" w:rsidRPr="007C6859" w:rsidTr="00776435">
        <w:trPr>
          <w:trHeight w:val="81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5. Степные районы, черноземы и каштановые почвы без орошения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</w:tc>
      </w:tr>
      <w:tr w:rsidR="007C66F7" w:rsidRPr="007C6859" w:rsidTr="00776435">
        <w:trPr>
          <w:trHeight w:val="81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6. То же после поздно убранных предшественников и дождливой осени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50-70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</w:tc>
      </w:tr>
      <w:tr w:rsidR="007C66F7" w:rsidRPr="007C6859" w:rsidTr="00776435">
        <w:trPr>
          <w:trHeight w:val="817"/>
        </w:trPr>
        <w:tc>
          <w:tcPr>
            <w:tcW w:w="5560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7. Во всех районах при ограниченных ресурсах удобрений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-</w:t>
            </w:r>
          </w:p>
        </w:tc>
        <w:tc>
          <w:tcPr>
            <w:tcW w:w="2712" w:type="dxa"/>
            <w:gridSpan w:val="2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 в рядки</w:t>
            </w:r>
          </w:p>
        </w:tc>
      </w:tr>
    </w:tbl>
    <w:p w:rsidR="007C66F7" w:rsidRPr="00361BED" w:rsidRDefault="007C66F7" w:rsidP="007C66F7">
      <w:pPr>
        <w:jc w:val="both"/>
        <w:rPr>
          <w:sz w:val="28"/>
          <w:szCs w:val="28"/>
        </w:rPr>
      </w:pP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Во всех зонах страны при посеве яровых зерновых культур обязательно нужно вносить гранулированный простой или двойной суперфосфат (можно и комплексное удобрение) из расчета 10-20 кг/га Р</w:t>
      </w:r>
      <w:r w:rsidRPr="00A81EB8">
        <w:rPr>
          <w:sz w:val="30"/>
          <w:szCs w:val="30"/>
          <w:vertAlign w:val="subscript"/>
        </w:rPr>
        <w:t>2</w:t>
      </w:r>
      <w:r w:rsidRPr="00A81EB8">
        <w:rPr>
          <w:sz w:val="30"/>
          <w:szCs w:val="30"/>
        </w:rPr>
        <w:t>О</w:t>
      </w:r>
      <w:r w:rsidRPr="00A81EB8">
        <w:rPr>
          <w:sz w:val="30"/>
          <w:szCs w:val="30"/>
          <w:vertAlign w:val="subscript"/>
        </w:rPr>
        <w:t>5</w:t>
      </w:r>
      <w:r w:rsidRPr="00A81EB8">
        <w:rPr>
          <w:sz w:val="30"/>
          <w:szCs w:val="30"/>
        </w:rPr>
        <w:t>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Внесение осенью под вспашку фосфорно-калийных удобрений значительно эффективнее, чем весенняя их заделка культиватором или дисковой бороной.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Азотные удобрения в зонах избыточного и достаточного увлажнения следует вносить весной во избежание потерь. А в зонах недостаточного увлажнения лучшие результаты получаются при осеннем их внесении под плуг.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Весеннюю подкормку яровых зерновых азотными удобрениями не проводят. Некоторое исключение составляют районы орошаемого земледелия, где часть азота (30-50 кг/га) целесообразно выделять в подкормку ввиду возможного вымывания его из корнеобитаемого слоя.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Внесение удобрений в средних нормах (</w:t>
      </w:r>
      <w:r w:rsidRPr="00A81EB8">
        <w:rPr>
          <w:sz w:val="30"/>
          <w:szCs w:val="30"/>
          <w:lang w:val="en-US"/>
        </w:rPr>
        <w:t>N</w:t>
      </w:r>
      <w:r w:rsidRPr="00A81EB8">
        <w:rPr>
          <w:sz w:val="30"/>
          <w:szCs w:val="30"/>
          <w:vertAlign w:val="subscript"/>
        </w:rPr>
        <w:t>40-60</w:t>
      </w:r>
      <w:r w:rsidRPr="00A81EB8">
        <w:rPr>
          <w:sz w:val="30"/>
          <w:szCs w:val="30"/>
        </w:rPr>
        <w:t>Р</w:t>
      </w:r>
      <w:r w:rsidRPr="00A81EB8">
        <w:rPr>
          <w:sz w:val="30"/>
          <w:szCs w:val="30"/>
          <w:vertAlign w:val="subscript"/>
        </w:rPr>
        <w:t>60-80</w:t>
      </w:r>
      <w:r w:rsidRPr="00A81EB8">
        <w:rPr>
          <w:sz w:val="30"/>
          <w:szCs w:val="30"/>
        </w:rPr>
        <w:t>К</w:t>
      </w:r>
      <w:r w:rsidRPr="00A81EB8">
        <w:rPr>
          <w:sz w:val="30"/>
          <w:szCs w:val="30"/>
          <w:vertAlign w:val="subscript"/>
        </w:rPr>
        <w:t>0-40</w:t>
      </w:r>
      <w:r w:rsidRPr="00A81EB8">
        <w:rPr>
          <w:sz w:val="30"/>
          <w:szCs w:val="30"/>
        </w:rPr>
        <w:t>) обеспечивает в различных почвенно-климатических зонах страны прибавки в урожае зерна яровых зернобобовых в пределах 0,3-0,8 т/га. Наименьшие прибавки отмечаются в засушливой зоне, наибольшие – при орошении и в зонах достаточного увлажнения.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 xml:space="preserve">Для получения урожая зерна яровых культур 3,5-4,0 т/га рекомендуется вносить на дерново-подзолистых и серых лесных почвах </w:t>
      </w:r>
      <w:r w:rsidRPr="00A81EB8">
        <w:rPr>
          <w:sz w:val="30"/>
          <w:szCs w:val="30"/>
          <w:lang w:val="en-US"/>
        </w:rPr>
        <w:t>N</w:t>
      </w:r>
      <w:r w:rsidRPr="00A81EB8">
        <w:rPr>
          <w:sz w:val="30"/>
          <w:szCs w:val="30"/>
          <w:vertAlign w:val="subscript"/>
        </w:rPr>
        <w:t>100-120</w:t>
      </w:r>
      <w:r w:rsidRPr="00A81EB8">
        <w:rPr>
          <w:sz w:val="30"/>
          <w:szCs w:val="30"/>
        </w:rPr>
        <w:t>Р</w:t>
      </w:r>
      <w:r w:rsidRPr="00A81EB8">
        <w:rPr>
          <w:sz w:val="30"/>
          <w:szCs w:val="30"/>
          <w:vertAlign w:val="subscript"/>
        </w:rPr>
        <w:t>80-100</w:t>
      </w:r>
      <w:r w:rsidRPr="00A81EB8">
        <w:rPr>
          <w:sz w:val="30"/>
          <w:szCs w:val="30"/>
        </w:rPr>
        <w:t>К</w:t>
      </w:r>
      <w:r w:rsidRPr="00A81EB8">
        <w:rPr>
          <w:sz w:val="30"/>
          <w:szCs w:val="30"/>
          <w:vertAlign w:val="subscript"/>
        </w:rPr>
        <w:t>80-100</w:t>
      </w:r>
      <w:r w:rsidRPr="00A81EB8">
        <w:rPr>
          <w:sz w:val="30"/>
          <w:szCs w:val="30"/>
        </w:rPr>
        <w:t xml:space="preserve">, а на выщелоченных черноземах </w:t>
      </w:r>
      <w:r w:rsidRPr="00A81EB8">
        <w:rPr>
          <w:sz w:val="30"/>
          <w:szCs w:val="30"/>
          <w:lang w:val="en-US"/>
        </w:rPr>
        <w:t>N</w:t>
      </w:r>
      <w:r w:rsidRPr="00A81EB8">
        <w:rPr>
          <w:sz w:val="30"/>
          <w:szCs w:val="30"/>
          <w:vertAlign w:val="subscript"/>
        </w:rPr>
        <w:t>60-70</w:t>
      </w:r>
      <w:r w:rsidRPr="00A81EB8">
        <w:rPr>
          <w:sz w:val="30"/>
          <w:szCs w:val="30"/>
        </w:rPr>
        <w:t>Р</w:t>
      </w:r>
      <w:r w:rsidRPr="00A81EB8">
        <w:rPr>
          <w:sz w:val="30"/>
          <w:szCs w:val="30"/>
          <w:vertAlign w:val="subscript"/>
        </w:rPr>
        <w:t>60-90</w:t>
      </w:r>
      <w:r w:rsidRPr="00A81EB8">
        <w:rPr>
          <w:sz w:val="30"/>
          <w:szCs w:val="30"/>
        </w:rPr>
        <w:t>К</w:t>
      </w:r>
      <w:r w:rsidRPr="00A81EB8">
        <w:rPr>
          <w:sz w:val="30"/>
          <w:szCs w:val="30"/>
          <w:vertAlign w:val="subscript"/>
        </w:rPr>
        <w:t>50-70</w:t>
      </w:r>
      <w:r w:rsidRPr="00A81EB8">
        <w:rPr>
          <w:sz w:val="30"/>
          <w:szCs w:val="30"/>
        </w:rPr>
        <w:t>, при среднем содержании в этих почвах фосфора и калия.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 xml:space="preserve">В условиях орошения на южных черноземах и каштановых почвах для получения урожая зерна яровых зерновых культу 4,0-4,5 т/га следует вносить </w:t>
      </w:r>
      <w:r w:rsidRPr="00A81EB8">
        <w:rPr>
          <w:sz w:val="30"/>
          <w:szCs w:val="30"/>
          <w:lang w:val="en-US"/>
        </w:rPr>
        <w:t>N</w:t>
      </w:r>
      <w:r w:rsidRPr="00A81EB8">
        <w:rPr>
          <w:sz w:val="30"/>
          <w:szCs w:val="30"/>
          <w:vertAlign w:val="subscript"/>
        </w:rPr>
        <w:t>90-120</w:t>
      </w:r>
      <w:r w:rsidRPr="00A81EB8">
        <w:rPr>
          <w:sz w:val="30"/>
          <w:szCs w:val="30"/>
        </w:rPr>
        <w:t>Р</w:t>
      </w:r>
      <w:r w:rsidRPr="00A81EB8">
        <w:rPr>
          <w:sz w:val="30"/>
          <w:szCs w:val="30"/>
          <w:vertAlign w:val="subscript"/>
        </w:rPr>
        <w:t>60-80</w:t>
      </w:r>
      <w:r w:rsidRPr="00A81EB8">
        <w:rPr>
          <w:sz w:val="30"/>
          <w:szCs w:val="30"/>
        </w:rPr>
        <w:t>К</w:t>
      </w:r>
      <w:r w:rsidRPr="00A81EB8">
        <w:rPr>
          <w:sz w:val="30"/>
          <w:szCs w:val="30"/>
          <w:vertAlign w:val="subscript"/>
        </w:rPr>
        <w:t>0-60</w:t>
      </w:r>
      <w:r w:rsidRPr="00A81EB8">
        <w:rPr>
          <w:sz w:val="30"/>
          <w:szCs w:val="30"/>
        </w:rPr>
        <w:t>. Если с осени проводят влагозарядковый полив, то заделку азотных удобрений проводят после него или весной под культиватор, а фосфорные и калийные вносят под основную вспашку.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 xml:space="preserve">С целью повышения качества зерна, как и для озимых, можно применить некорневую подкормку 30%-ым раствором мочевины дозой </w:t>
      </w:r>
      <w:r w:rsidRPr="00A81EB8">
        <w:rPr>
          <w:sz w:val="30"/>
          <w:szCs w:val="30"/>
          <w:lang w:val="en-US"/>
        </w:rPr>
        <w:t>N</w:t>
      </w:r>
      <w:r w:rsidRPr="00A81EB8">
        <w:rPr>
          <w:sz w:val="30"/>
          <w:szCs w:val="30"/>
          <w:vertAlign w:val="subscript"/>
        </w:rPr>
        <w:t>30</w:t>
      </w:r>
      <w:r w:rsidRPr="00A81EB8">
        <w:rPr>
          <w:sz w:val="30"/>
          <w:szCs w:val="30"/>
        </w:rPr>
        <w:t>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При интенсивной технологии возделывания яровых зерновых используется весь научный комплекс агротехнический мероприятий, комплекс агротехнических мероприятий, включающий кроме удобрений интегрированную систему защиты растений, применение регуляторов роста и других мероприятий.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Кукуруза тоже относится к яровым зерновым культурам. Она выращивается на зерно и силос на Северном Кавказе, юге Центрально Черноземной зоны, в Нижнем Поволжье.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В зонах недостаточного увлажнения лучшими предшественниками для кукурузы являются озимые культуры, идущие по чистому удобренному пару, зернобобовые культуры и кукуруза. Многолетние травы, подсолнечник, суданская трава, сахарная свекла и кукуруза 3-го года пользования действуют значительно хуже, так как сильно иссушают почву.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 xml:space="preserve">В районах достаточного увлажнения или при орошении кукурузу можно размещать по пласту многолетних трав, а также по обороту пласта. Это культура очень требовательная к пищевому режиму почв, которые должны хорошо аэрируемые, нетяжелые с нейтральной или близкой к ней реакцией. Основная масса корней (до 60%) располагается на глубине до </w:t>
      </w:r>
      <w:smartTag w:uri="urn:schemas-microsoft-com:office:smarttags" w:element="metricconverter">
        <w:smartTagPr>
          <w:attr w:name="ProductID" w:val="20 см"/>
        </w:smartTagPr>
        <w:r w:rsidRPr="00A81EB8">
          <w:rPr>
            <w:sz w:val="30"/>
            <w:szCs w:val="30"/>
          </w:rPr>
          <w:t>20 см</w:t>
        </w:r>
      </w:smartTag>
      <w:r w:rsidRPr="00A81EB8">
        <w:rPr>
          <w:sz w:val="30"/>
          <w:szCs w:val="30"/>
        </w:rPr>
        <w:t>.</w:t>
      </w:r>
    </w:p>
    <w:p w:rsidR="007C66F7" w:rsidRPr="00A81EB8" w:rsidRDefault="007C66F7" w:rsidP="007C66F7">
      <w:pPr>
        <w:ind w:firstLine="708"/>
        <w:jc w:val="both"/>
        <w:rPr>
          <w:sz w:val="30"/>
          <w:szCs w:val="30"/>
        </w:rPr>
      </w:pPr>
      <w:r w:rsidRPr="00A81EB8">
        <w:rPr>
          <w:sz w:val="30"/>
          <w:szCs w:val="30"/>
        </w:rPr>
        <w:t>Наибольшее количество элементов питания кукуруза потребляет от фазы выбрасывания метелки до молочной спелости (таблица 3).</w:t>
      </w:r>
    </w:p>
    <w:p w:rsidR="007C66F7" w:rsidRDefault="007C66F7" w:rsidP="007C66F7">
      <w:pPr>
        <w:rPr>
          <w:sz w:val="30"/>
          <w:szCs w:val="30"/>
        </w:rPr>
      </w:pPr>
    </w:p>
    <w:p w:rsidR="007C66F7" w:rsidRDefault="007C66F7" w:rsidP="007C66F7">
      <w:pPr>
        <w:ind w:firstLine="708"/>
        <w:rPr>
          <w:b/>
          <w:sz w:val="30"/>
          <w:szCs w:val="30"/>
        </w:rPr>
      </w:pPr>
    </w:p>
    <w:p w:rsidR="007C66F7" w:rsidRDefault="007C66F7" w:rsidP="007C66F7">
      <w:pPr>
        <w:ind w:firstLine="708"/>
        <w:rPr>
          <w:b/>
          <w:sz w:val="30"/>
          <w:szCs w:val="30"/>
        </w:rPr>
      </w:pPr>
    </w:p>
    <w:p w:rsidR="007C66F7" w:rsidRDefault="007C66F7" w:rsidP="007C66F7">
      <w:pPr>
        <w:ind w:firstLine="708"/>
        <w:rPr>
          <w:b/>
          <w:sz w:val="30"/>
          <w:szCs w:val="30"/>
        </w:rPr>
      </w:pPr>
    </w:p>
    <w:p w:rsidR="007C66F7" w:rsidRPr="0064197B" w:rsidRDefault="007C66F7" w:rsidP="007C66F7">
      <w:pPr>
        <w:ind w:firstLine="708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Таблица 3</w:t>
      </w:r>
    </w:p>
    <w:p w:rsidR="007C66F7" w:rsidRPr="0064197B" w:rsidRDefault="007C66F7" w:rsidP="007C66F7">
      <w:pPr>
        <w:jc w:val="center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 xml:space="preserve">Динамика накопления кукурузой сухого вещества и элементов питания, % </w:t>
      </w:r>
      <w:proofErr w:type="gramStart"/>
      <w:r w:rsidRPr="0064197B">
        <w:rPr>
          <w:b/>
          <w:sz w:val="30"/>
          <w:szCs w:val="30"/>
        </w:rPr>
        <w:t>от</w:t>
      </w:r>
      <w:proofErr w:type="gramEnd"/>
      <w:r w:rsidRPr="0064197B">
        <w:rPr>
          <w:b/>
          <w:sz w:val="30"/>
          <w:szCs w:val="30"/>
        </w:rPr>
        <w:t xml:space="preserve"> максимального</w:t>
      </w:r>
    </w:p>
    <w:p w:rsidR="007C66F7" w:rsidRPr="0064197B" w:rsidRDefault="007C66F7" w:rsidP="007C66F7">
      <w:pPr>
        <w:ind w:firstLine="708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9"/>
        <w:gridCol w:w="1411"/>
        <w:gridCol w:w="1359"/>
        <w:gridCol w:w="1361"/>
        <w:gridCol w:w="1361"/>
      </w:tblGrid>
      <w:tr w:rsidR="007C66F7" w:rsidRPr="007C6859" w:rsidTr="00776435">
        <w:trPr>
          <w:trHeight w:val="1260"/>
        </w:trPr>
        <w:tc>
          <w:tcPr>
            <w:tcW w:w="4101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Фазы развития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Сухое вещество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N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  <w:r w:rsidRPr="007C6859">
              <w:rPr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</w:tr>
      <w:tr w:rsidR="007C66F7" w:rsidRPr="007C6859" w:rsidTr="00776435">
        <w:trPr>
          <w:trHeight w:val="970"/>
        </w:trPr>
        <w:tc>
          <w:tcPr>
            <w:tcW w:w="4101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1. 9-10 листьев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2. Выбрасывание метелки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3. Цветение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4. Молочная спелость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5. Восковая спелость</w:t>
            </w:r>
          </w:p>
          <w:p w:rsidR="007C66F7" w:rsidRPr="007C6859" w:rsidRDefault="007C66F7" w:rsidP="00776435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6. Полная спелость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35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94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61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89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93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33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61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88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69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79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95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  <w:p w:rsidR="007C66F7" w:rsidRPr="007C6859" w:rsidRDefault="007C66F7" w:rsidP="00776435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82</w:t>
            </w:r>
          </w:p>
        </w:tc>
      </w:tr>
    </w:tbl>
    <w:p w:rsidR="007C66F7" w:rsidRDefault="007C66F7" w:rsidP="007C66F7">
      <w:pPr>
        <w:jc w:val="both"/>
        <w:rPr>
          <w:sz w:val="28"/>
          <w:szCs w:val="28"/>
        </w:rPr>
      </w:pP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Максимальное содержание элементов питания в урожае кукурузы отмечается в фазе восковой спелости. На 1 тонну зерна вместе с побочной продукцией эта культура выносит в среднем </w:t>
      </w:r>
      <w:smartTag w:uri="urn:schemas-microsoft-com:office:smarttags" w:element="metricconverter">
        <w:smartTagPr>
          <w:attr w:name="ProductID" w:val="34 кг"/>
        </w:smartTagPr>
        <w:r w:rsidRPr="00955096">
          <w:rPr>
            <w:sz w:val="30"/>
            <w:szCs w:val="30"/>
          </w:rPr>
          <w:t>34 кг</w:t>
        </w:r>
      </w:smartTag>
      <w:r w:rsidRPr="00955096">
        <w:rPr>
          <w:sz w:val="30"/>
          <w:szCs w:val="30"/>
        </w:rPr>
        <w:t xml:space="preserve">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</w:rPr>
        <w:t xml:space="preserve">, </w:t>
      </w:r>
      <w:smartTag w:uri="urn:schemas-microsoft-com:office:smarttags" w:element="metricconverter">
        <w:smartTagPr>
          <w:attr w:name="ProductID" w:val="12 кг"/>
        </w:smartTagPr>
        <w:r w:rsidRPr="00955096">
          <w:rPr>
            <w:sz w:val="30"/>
            <w:szCs w:val="30"/>
          </w:rPr>
          <w:t>12 кг</w:t>
        </w:r>
      </w:smartTag>
      <w:r w:rsidRPr="00955096">
        <w:rPr>
          <w:sz w:val="30"/>
          <w:szCs w:val="30"/>
        </w:rPr>
        <w:t xml:space="preserve"> Р</w:t>
      </w:r>
      <w:r w:rsidRPr="00955096">
        <w:rPr>
          <w:sz w:val="30"/>
          <w:szCs w:val="30"/>
          <w:vertAlign w:val="subscript"/>
        </w:rPr>
        <w:t>2</w:t>
      </w:r>
      <w:r w:rsidRPr="00955096">
        <w:rPr>
          <w:sz w:val="30"/>
          <w:szCs w:val="30"/>
        </w:rPr>
        <w:t>О</w:t>
      </w:r>
      <w:r w:rsidRPr="00955096">
        <w:rPr>
          <w:sz w:val="30"/>
          <w:szCs w:val="30"/>
          <w:vertAlign w:val="subscript"/>
        </w:rPr>
        <w:t>5</w:t>
      </w:r>
      <w:r w:rsidRPr="00955096">
        <w:rPr>
          <w:sz w:val="30"/>
          <w:szCs w:val="30"/>
        </w:rPr>
        <w:t xml:space="preserve"> и 37 К</w:t>
      </w:r>
      <w:r w:rsidRPr="00955096">
        <w:rPr>
          <w:sz w:val="30"/>
          <w:szCs w:val="30"/>
          <w:vertAlign w:val="subscript"/>
        </w:rPr>
        <w:t>2</w:t>
      </w:r>
      <w:r w:rsidRPr="00955096">
        <w:rPr>
          <w:sz w:val="30"/>
          <w:szCs w:val="30"/>
        </w:rPr>
        <w:t xml:space="preserve">О, а на 10 тонн зеленой массы соответственно 25, 12 и </w:t>
      </w:r>
      <w:smartTag w:uri="urn:schemas-microsoft-com:office:smarttags" w:element="metricconverter">
        <w:smartTagPr>
          <w:attr w:name="ProductID" w:val="45 кг"/>
        </w:smartTagPr>
        <w:r w:rsidRPr="00955096">
          <w:rPr>
            <w:sz w:val="30"/>
            <w:szCs w:val="30"/>
          </w:rPr>
          <w:t>45 кг</w:t>
        </w:r>
      </w:smartTag>
      <w:r w:rsidRPr="00955096">
        <w:rPr>
          <w:sz w:val="30"/>
          <w:szCs w:val="30"/>
        </w:rPr>
        <w:t>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Кукуруза очень отзывчива на внесение органических удобрений, особенно в нечерноземной полосе. Часто на дерново-подзолистых почвах без применения органических удобрений не удается получить высокий урожай кукурузы. На этих почвах обычно вносят 40-50 т/га навоза или хорошего компоста. В лесостепной зоне норма составляет 30 т/га, в степной – около 20 т/га.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По результатам проведенных полевых опытов внесение 20 т/га навоза под кукурузу на разных почвах лесостепной зоны обеспечивает прибавку в урожае зерна 0,4-0,9 т/га, а силосной массы до 9 т/га. Навоз или компост лучше заделывать на полную глубину вспашки и только во влажных районах на песчаных и супесчаных почвах целесообразнее заделывать навоз весной.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По результатам опытов госагрохимслужбы в дозе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45-60</w:t>
      </w:r>
      <w:r w:rsidRPr="00955096">
        <w:rPr>
          <w:sz w:val="30"/>
          <w:szCs w:val="30"/>
        </w:rPr>
        <w:t>Р</w:t>
      </w:r>
      <w:r w:rsidRPr="00955096">
        <w:rPr>
          <w:sz w:val="30"/>
          <w:szCs w:val="30"/>
          <w:vertAlign w:val="subscript"/>
        </w:rPr>
        <w:t>60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30-60</w:t>
      </w:r>
      <w:r w:rsidRPr="00955096">
        <w:rPr>
          <w:sz w:val="30"/>
          <w:szCs w:val="30"/>
        </w:rPr>
        <w:t xml:space="preserve"> в основных зонах ее возделывания дает прибавки в урожае зерна этой культуры 0,6-1,1 т/га, а зеленой массы 3-12 т/га, обеспечивая урожай зерна 3-5 т/га и зеленой массы 25-30 т/га.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Азотные удобрения в зоне недостаточного увлажнения более эффективны при внесении осенью под зябь. В районах достаточного увлажнения их следует применять весной под перепашку зяби или предпосевную культивацию.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Фосфорно-калийные удобрения нужно вносить под зяблевую вспашку. Только в зоне избыточного увлажнения на легких почвах калийные удобрения целесообразнее применять весной.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При посеве кукурузы необходимо вносить в рядки 10 кг/га Р2О5 в виде простого или двойного суперфосфата, только заделывать их надо на 3-</w:t>
      </w:r>
      <w:smartTag w:uri="urn:schemas-microsoft-com:office:smarttags" w:element="metricconverter">
        <w:smartTagPr>
          <w:attr w:name="ProductID" w:val="4 см"/>
        </w:smartTagPr>
        <w:r w:rsidRPr="00955096">
          <w:rPr>
            <w:sz w:val="30"/>
            <w:szCs w:val="30"/>
          </w:rPr>
          <w:t>4 см</w:t>
        </w:r>
      </w:smartTag>
      <w:r w:rsidRPr="00955096">
        <w:rPr>
          <w:sz w:val="30"/>
          <w:szCs w:val="30"/>
        </w:rPr>
        <w:t xml:space="preserve"> глубже или в стороне от семян, что предохраняет молодые проростки от вредного действия повышенной концентрации почвенного раствора, вызванного удобрениями.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Подкормки кукурузы азотом, не говоря уже о фосфоре и калии, не всегда эффективны. На глинистых и суглинистых почвах даже в зоне достаточного увлажнения и при орошении перенесение даже части азота из основного удобрения в подкормки снижает урожай или не дает дополнительного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 эффекта.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 Подкормки 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>кукурузы азотом и калием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 (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30-40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30-40</w:t>
      </w:r>
      <w:r w:rsidRPr="00955096">
        <w:rPr>
          <w:sz w:val="30"/>
          <w:szCs w:val="30"/>
        </w:rPr>
        <w:t>) оправдывают себя только на легких почвах и то в зонах достаточного и избыточного увлажнения и при орошении. Кроме того, перенесение части азота в подкормки может оправдать себя при планировании высокой годовой нормы этого элемента. В этом случае подкормку вносят культиватором -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растениепитателем на глубину </w:t>
      </w:r>
      <w:smartTag w:uri="urn:schemas-microsoft-com:office:smarttags" w:element="metricconverter">
        <w:smartTagPr>
          <w:attr w:name="ProductID" w:val="10 см"/>
        </w:smartTagPr>
        <w:r w:rsidRPr="00955096">
          <w:rPr>
            <w:sz w:val="30"/>
            <w:szCs w:val="30"/>
          </w:rPr>
          <w:t>10 см</w:t>
        </w:r>
      </w:smartTag>
      <w:r w:rsidRPr="00955096">
        <w:rPr>
          <w:sz w:val="30"/>
          <w:szCs w:val="30"/>
        </w:rPr>
        <w:t xml:space="preserve"> во время первой культивации, когда растения достигают высоты 15-</w:t>
      </w:r>
      <w:smartTag w:uri="urn:schemas-microsoft-com:office:smarttags" w:element="metricconverter">
        <w:smartTagPr>
          <w:attr w:name="ProductID" w:val="20 см"/>
        </w:smartTagPr>
        <w:r w:rsidRPr="00955096">
          <w:rPr>
            <w:sz w:val="30"/>
            <w:szCs w:val="30"/>
          </w:rPr>
          <w:t>20 см</w:t>
        </w:r>
      </w:smartTag>
      <w:r w:rsidRPr="00955096">
        <w:rPr>
          <w:sz w:val="30"/>
          <w:szCs w:val="30"/>
        </w:rPr>
        <w:t>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На дерново-подзолистых средне-окультуренных почвах для получения 45-55 т/га силосной массы кукурузы рекомендуется вносить 40-50 т/га навоза и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100-120</w:t>
      </w:r>
      <w:r w:rsidRPr="00955096">
        <w:rPr>
          <w:sz w:val="30"/>
          <w:szCs w:val="30"/>
        </w:rPr>
        <w:t>Р</w:t>
      </w:r>
      <w:r w:rsidRPr="00955096">
        <w:rPr>
          <w:sz w:val="30"/>
          <w:szCs w:val="30"/>
          <w:vertAlign w:val="subscript"/>
        </w:rPr>
        <w:t>80-100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0-80</w:t>
      </w:r>
      <w:r w:rsidRPr="00955096">
        <w:rPr>
          <w:sz w:val="30"/>
          <w:szCs w:val="30"/>
        </w:rPr>
        <w:t xml:space="preserve">, а </w:t>
      </w:r>
      <w:proofErr w:type="gramStart"/>
      <w:r w:rsidRPr="00955096">
        <w:rPr>
          <w:sz w:val="30"/>
          <w:szCs w:val="30"/>
        </w:rPr>
        <w:t>для</w:t>
      </w:r>
      <w:proofErr w:type="gramEnd"/>
      <w:r w:rsidRPr="00955096">
        <w:rPr>
          <w:sz w:val="30"/>
          <w:szCs w:val="30"/>
        </w:rPr>
        <w:t xml:space="preserve"> </w:t>
      </w:r>
      <w:proofErr w:type="gramStart"/>
      <w:r w:rsidRPr="00955096">
        <w:rPr>
          <w:sz w:val="30"/>
          <w:szCs w:val="30"/>
        </w:rPr>
        <w:t>получении</w:t>
      </w:r>
      <w:proofErr w:type="gramEnd"/>
      <w:r w:rsidRPr="00955096">
        <w:rPr>
          <w:sz w:val="30"/>
          <w:szCs w:val="30"/>
        </w:rPr>
        <w:t xml:space="preserve"> 70-80 т/га – 50 т/га навоза и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180-200</w:t>
      </w:r>
      <w:r w:rsidRPr="00955096">
        <w:rPr>
          <w:sz w:val="30"/>
          <w:szCs w:val="30"/>
        </w:rPr>
        <w:t>Р</w:t>
      </w:r>
      <w:r w:rsidRPr="00955096">
        <w:rPr>
          <w:sz w:val="30"/>
          <w:szCs w:val="30"/>
          <w:vertAlign w:val="subscript"/>
        </w:rPr>
        <w:t>120-150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180-200</w:t>
      </w:r>
      <w:r w:rsidRPr="00955096">
        <w:rPr>
          <w:sz w:val="30"/>
          <w:szCs w:val="30"/>
        </w:rPr>
        <w:t>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На выщелоченных черноземах применение (по унавоженному предшественнику) 35 т/га навоза и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70-100</w:t>
      </w:r>
      <w:r w:rsidRPr="00955096">
        <w:rPr>
          <w:sz w:val="30"/>
          <w:szCs w:val="30"/>
        </w:rPr>
        <w:t>Р</w:t>
      </w:r>
      <w:r w:rsidRPr="00955096">
        <w:rPr>
          <w:sz w:val="30"/>
          <w:szCs w:val="30"/>
          <w:vertAlign w:val="subscript"/>
        </w:rPr>
        <w:t>50-80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60-80</w:t>
      </w:r>
      <w:r w:rsidRPr="00955096">
        <w:rPr>
          <w:sz w:val="30"/>
          <w:szCs w:val="30"/>
        </w:rPr>
        <w:t xml:space="preserve"> обеспечивает сбор зерна 6-7 т/га. В зоне орошаемого земледелия для получения урожая зерна 6-8 т/га или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 зеленой 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массы </w:t>
      </w:r>
      <w:r>
        <w:rPr>
          <w:sz w:val="30"/>
          <w:szCs w:val="30"/>
        </w:rPr>
        <w:t xml:space="preserve"> </w:t>
      </w:r>
      <w:r w:rsidRPr="00955096">
        <w:rPr>
          <w:sz w:val="30"/>
          <w:szCs w:val="30"/>
        </w:rPr>
        <w:t xml:space="preserve">60-80 т/га вносят 30 т/га навоза и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  <w:vertAlign w:val="subscript"/>
        </w:rPr>
        <w:t>100-180</w:t>
      </w:r>
      <w:r w:rsidRPr="00955096">
        <w:rPr>
          <w:sz w:val="30"/>
          <w:szCs w:val="30"/>
        </w:rPr>
        <w:t>Р</w:t>
      </w:r>
      <w:r w:rsidRPr="00955096">
        <w:rPr>
          <w:sz w:val="30"/>
          <w:szCs w:val="30"/>
          <w:vertAlign w:val="subscript"/>
        </w:rPr>
        <w:t>60-120</w:t>
      </w:r>
      <w:r w:rsidRPr="00955096">
        <w:rPr>
          <w:sz w:val="30"/>
          <w:szCs w:val="30"/>
        </w:rPr>
        <w:t>К</w:t>
      </w:r>
      <w:r w:rsidRPr="00955096">
        <w:rPr>
          <w:sz w:val="30"/>
          <w:szCs w:val="30"/>
          <w:vertAlign w:val="subscript"/>
        </w:rPr>
        <w:t>0-70</w:t>
      </w:r>
      <w:r w:rsidRPr="00955096">
        <w:rPr>
          <w:sz w:val="30"/>
          <w:szCs w:val="30"/>
        </w:rPr>
        <w:t>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Интенсивная технология выращивания кукурузы, наряду с применением научно обоснованных повышенных норм удобрений, требует обязательного соблюдения высокого уровня агротехнических мероприятий по обработке почвы и системы мероприятий по защите растений от сорняков, болезней и вредителей.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Зернобобовые культуры (горох, соя, фасоль, вика, люпин, кормовые бобы и другие) имеют стержневой корень, проникающий на глубину </w:t>
      </w:r>
      <w:smartTag w:uri="urn:schemas-microsoft-com:office:smarttags" w:element="metricconverter">
        <w:smartTagPr>
          <w:attr w:name="ProductID" w:val="1 м"/>
        </w:smartTagPr>
        <w:r w:rsidRPr="00955096">
          <w:rPr>
            <w:sz w:val="30"/>
            <w:szCs w:val="30"/>
          </w:rPr>
          <w:t>1 м</w:t>
        </w:r>
      </w:smartTag>
      <w:r w:rsidRPr="00955096">
        <w:rPr>
          <w:sz w:val="30"/>
          <w:szCs w:val="30"/>
        </w:rPr>
        <w:t xml:space="preserve"> и более, хорошо растут и развиваются на нейтральных и близких к ней почвах и положительно отзываются на известкование. Только люпин нормально развивается на кислых почвах и отрицательно реагирует на известкование высокими дозами извести. Эти культуры способны усваивать атмосферный азот и лучше, чем другие культуры используют фосфор из труднорастворимых соединений почвы.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У гороха и вики поступление азота и калия заканчивается к периоду полного цветения, а фосфора к созреванию. У люпина и кормовых бобов накопление питательных веществ в растениях достигает максимума ко времени созревания бобов на главном стебле. Наиболее интенсивно бобовые культуры усваивают питательные вещества ко времени цветения. На 1 т зерна с учетом побочной продукции горох использует в среднем </w:t>
      </w:r>
      <w:smartTag w:uri="urn:schemas-microsoft-com:office:smarttags" w:element="metricconverter">
        <w:smartTagPr>
          <w:attr w:name="ProductID" w:val="66 кг"/>
        </w:smartTagPr>
        <w:r w:rsidRPr="00955096">
          <w:rPr>
            <w:sz w:val="30"/>
            <w:szCs w:val="30"/>
          </w:rPr>
          <w:t>66 кг</w:t>
        </w:r>
      </w:smartTag>
      <w:r w:rsidRPr="00955096">
        <w:rPr>
          <w:sz w:val="30"/>
          <w:szCs w:val="30"/>
        </w:rPr>
        <w:t xml:space="preserve"> </w:t>
      </w:r>
      <w:r w:rsidRPr="00955096">
        <w:rPr>
          <w:sz w:val="30"/>
          <w:szCs w:val="30"/>
          <w:lang w:val="en-US"/>
        </w:rPr>
        <w:t>N</w:t>
      </w:r>
      <w:r w:rsidRPr="00955096">
        <w:rPr>
          <w:sz w:val="30"/>
          <w:szCs w:val="30"/>
        </w:rPr>
        <w:t xml:space="preserve">, </w:t>
      </w:r>
      <w:smartTag w:uri="urn:schemas-microsoft-com:office:smarttags" w:element="metricconverter">
        <w:smartTagPr>
          <w:attr w:name="ProductID" w:val="16 кг"/>
        </w:smartTagPr>
        <w:r w:rsidRPr="00955096">
          <w:rPr>
            <w:sz w:val="30"/>
            <w:szCs w:val="30"/>
          </w:rPr>
          <w:t>16 кг</w:t>
        </w:r>
      </w:smartTag>
      <w:r w:rsidRPr="00955096">
        <w:rPr>
          <w:sz w:val="30"/>
          <w:szCs w:val="30"/>
        </w:rPr>
        <w:t xml:space="preserve"> Р</w:t>
      </w:r>
      <w:r w:rsidRPr="00955096">
        <w:rPr>
          <w:sz w:val="30"/>
          <w:szCs w:val="30"/>
          <w:vertAlign w:val="subscript"/>
        </w:rPr>
        <w:t>2</w:t>
      </w:r>
      <w:r w:rsidRPr="00955096">
        <w:rPr>
          <w:sz w:val="30"/>
          <w:szCs w:val="30"/>
        </w:rPr>
        <w:t>О</w:t>
      </w:r>
      <w:r w:rsidRPr="00955096">
        <w:rPr>
          <w:sz w:val="30"/>
          <w:szCs w:val="30"/>
          <w:vertAlign w:val="subscript"/>
        </w:rPr>
        <w:t>5</w:t>
      </w:r>
      <w:r w:rsidRPr="00955096">
        <w:rPr>
          <w:sz w:val="30"/>
          <w:szCs w:val="30"/>
        </w:rPr>
        <w:t xml:space="preserve"> и </w:t>
      </w:r>
      <w:smartTag w:uri="urn:schemas-microsoft-com:office:smarttags" w:element="metricconverter">
        <w:smartTagPr>
          <w:attr w:name="ProductID" w:val="20 кг"/>
        </w:smartTagPr>
        <w:r w:rsidRPr="00955096">
          <w:rPr>
            <w:sz w:val="30"/>
            <w:szCs w:val="30"/>
          </w:rPr>
          <w:t>20 кг</w:t>
        </w:r>
      </w:smartTag>
      <w:r w:rsidRPr="00955096">
        <w:rPr>
          <w:sz w:val="30"/>
          <w:szCs w:val="30"/>
        </w:rPr>
        <w:t xml:space="preserve"> К</w:t>
      </w:r>
      <w:r w:rsidRPr="00955096">
        <w:rPr>
          <w:sz w:val="30"/>
          <w:szCs w:val="30"/>
          <w:vertAlign w:val="subscript"/>
        </w:rPr>
        <w:t>2</w:t>
      </w:r>
      <w:r w:rsidRPr="00955096">
        <w:rPr>
          <w:sz w:val="30"/>
          <w:szCs w:val="30"/>
        </w:rPr>
        <w:t xml:space="preserve">О; вика: соответственно 65, 14 и </w:t>
      </w:r>
      <w:smartTag w:uri="urn:schemas-microsoft-com:office:smarttags" w:element="metricconverter">
        <w:smartTagPr>
          <w:attr w:name="ProductID" w:val="16 кг"/>
        </w:smartTagPr>
        <w:r w:rsidRPr="00955096">
          <w:rPr>
            <w:sz w:val="30"/>
            <w:szCs w:val="30"/>
          </w:rPr>
          <w:t>16 кг</w:t>
        </w:r>
      </w:smartTag>
      <w:r w:rsidRPr="00955096">
        <w:rPr>
          <w:sz w:val="30"/>
          <w:szCs w:val="30"/>
        </w:rPr>
        <w:t xml:space="preserve">; люпин: 68, 19 и </w:t>
      </w:r>
      <w:smartTag w:uri="urn:schemas-microsoft-com:office:smarttags" w:element="metricconverter">
        <w:smartTagPr>
          <w:attr w:name="ProductID" w:val="47 кг"/>
        </w:smartTagPr>
        <w:r w:rsidRPr="00955096">
          <w:rPr>
            <w:sz w:val="30"/>
            <w:szCs w:val="30"/>
          </w:rPr>
          <w:t>47 кг</w:t>
        </w:r>
      </w:smartTag>
      <w:r w:rsidRPr="00955096">
        <w:rPr>
          <w:sz w:val="30"/>
          <w:szCs w:val="30"/>
        </w:rPr>
        <w:t xml:space="preserve">; соя: 71, 16 и </w:t>
      </w:r>
      <w:smartTag w:uri="urn:schemas-microsoft-com:office:smarttags" w:element="metricconverter">
        <w:smartTagPr>
          <w:attr w:name="ProductID" w:val="18 кг"/>
        </w:smartTagPr>
        <w:r w:rsidRPr="00955096">
          <w:rPr>
            <w:sz w:val="30"/>
            <w:szCs w:val="30"/>
          </w:rPr>
          <w:t>18 кг</w:t>
        </w:r>
      </w:smartTag>
      <w:r w:rsidRPr="00955096">
        <w:rPr>
          <w:sz w:val="30"/>
          <w:szCs w:val="30"/>
        </w:rPr>
        <w:t>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Зернобобовые культуры при оптимальных условиях выращивания усваивают из воздуха с помощью клубеньковых бактерий примерно 66% азота от общего его содержания в растениях и 34% используют из почвы. Лучшим азотофиксатором является люпин, худшим – вика.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Предшественниками зернобобовых культур чаще всего бывают озимые зерновые и пропашные культуры.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Зернобобовые хорошо отзываются на внесение органических удобрений, но им чаще всего приходится пользоваться их последействием. Поскольку эти культуры сами могут фиксировать азот из воздуха, то</w:t>
      </w:r>
      <w:r>
        <w:rPr>
          <w:sz w:val="30"/>
          <w:szCs w:val="30"/>
        </w:rPr>
        <w:t>,</w:t>
      </w:r>
      <w:r w:rsidRPr="00955096">
        <w:rPr>
          <w:sz w:val="30"/>
          <w:szCs w:val="30"/>
        </w:rPr>
        <w:t xml:space="preserve"> прежде всего</w:t>
      </w:r>
      <w:r>
        <w:rPr>
          <w:sz w:val="30"/>
          <w:szCs w:val="30"/>
        </w:rPr>
        <w:t>,</w:t>
      </w:r>
      <w:r w:rsidRPr="00955096">
        <w:rPr>
          <w:sz w:val="30"/>
          <w:szCs w:val="30"/>
        </w:rPr>
        <w:t xml:space="preserve"> они нуждаются в фосфорно-калийных удобрениях.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Исследования показали, что относительное количество азота, фиксированного бобовыми культурами из атмосферы, с увеличением нормы внесения азотных удобрений снижается. Поэтому и стали считать, что внесение азотных удобрений подавляет азотофиксацию бобовыми культурами. Если и рекомендуется внесение азотных удобрений под зернобобовые культуры, но в небольших (20-30 кг/га) стартовых дозах, чтобы обеспечить растения в начальный период роста, когда деятельность клубеньковых бактерий еще слабая. Однако проведенные в последние годы исследования позволяют несколько иначе оценить роль азотных удобрений для зернобобовых культур.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При определении норм азотных удобрения рекомендуется сегодня следующий подход. Если урожай зерна гороха планируется 3,5 т/га, то при выносе на 1 т зерна (вместе с соломой) </w:t>
      </w:r>
      <w:smartTag w:uri="urn:schemas-microsoft-com:office:smarttags" w:element="metricconverter">
        <w:smartTagPr>
          <w:attr w:name="ProductID" w:val="60 кг"/>
        </w:smartTagPr>
        <w:r w:rsidRPr="00955096">
          <w:rPr>
            <w:sz w:val="30"/>
            <w:szCs w:val="30"/>
          </w:rPr>
          <w:t>60 кг</w:t>
        </w:r>
      </w:smartTag>
      <w:r w:rsidRPr="00955096">
        <w:rPr>
          <w:sz w:val="30"/>
          <w:szCs w:val="30"/>
        </w:rPr>
        <w:t xml:space="preserve"> азота, общий вынос азота составит 210 кг/га. Пр</w:t>
      </w:r>
      <w:r>
        <w:rPr>
          <w:sz w:val="30"/>
          <w:szCs w:val="30"/>
        </w:rPr>
        <w:t>и</w:t>
      </w:r>
      <w:r w:rsidRPr="00955096">
        <w:rPr>
          <w:sz w:val="30"/>
          <w:szCs w:val="30"/>
        </w:rPr>
        <w:t xml:space="preserve">мерно 50 % выноса содержится в пожнивно-корневых остатках, то есть 105 кг/га. Следовательно, в урожае с </w:t>
      </w:r>
      <w:smartTag w:uri="urn:schemas-microsoft-com:office:smarttags" w:element="metricconverter">
        <w:smartTagPr>
          <w:attr w:name="ProductID" w:val="1 га"/>
        </w:smartTagPr>
        <w:r w:rsidRPr="00955096">
          <w:rPr>
            <w:sz w:val="30"/>
            <w:szCs w:val="30"/>
          </w:rPr>
          <w:t>1 га</w:t>
        </w:r>
      </w:smartTag>
      <w:r w:rsidRPr="00955096">
        <w:rPr>
          <w:sz w:val="30"/>
          <w:szCs w:val="30"/>
        </w:rPr>
        <w:t xml:space="preserve"> содержится 315 кг/га азота. </w:t>
      </w:r>
      <w:proofErr w:type="gramStart"/>
      <w:r w:rsidRPr="00955096">
        <w:rPr>
          <w:sz w:val="30"/>
          <w:szCs w:val="30"/>
        </w:rPr>
        <w:t>В лучшем случае зернобобовые используют из почвы 1/3 азота, а 2/3 фиксируют из атмосферы.</w:t>
      </w:r>
      <w:proofErr w:type="gramEnd"/>
      <w:r w:rsidRPr="00955096">
        <w:rPr>
          <w:sz w:val="30"/>
          <w:szCs w:val="30"/>
        </w:rPr>
        <w:t xml:space="preserve"> В нашем случае это будет из почвы 105 кг/га. Поэтому растения из почвы используют столько же, сколько оставляют с пожнивно-корневыми остатками.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В связи с этим принято считать, что зернобобовые не изменяют баланса азота почвы, носами в значительной степени обеспечивают себя азотом и оказывают хорошее последействие на другие культуры за счет высвобождения минерального азота при разложении пожнивных и корневых остатков. Однако 105 кг/га азота для создания урожая 3,5 т/га может обеспечить не всякая почва, поэтому часть азота нужно вносить в виде удобрений.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 xml:space="preserve">Так, если в черноземе содержится 10 мг на </w:t>
      </w:r>
      <w:smartTag w:uri="urn:schemas-microsoft-com:office:smarttags" w:element="metricconverter">
        <w:smartTagPr>
          <w:attr w:name="ProductID" w:val="100 г"/>
        </w:smartTagPr>
        <w:r w:rsidRPr="00955096">
          <w:rPr>
            <w:sz w:val="30"/>
            <w:szCs w:val="30"/>
          </w:rPr>
          <w:t>100 г</w:t>
        </w:r>
      </w:smartTag>
      <w:r w:rsidRPr="00955096">
        <w:rPr>
          <w:sz w:val="30"/>
          <w:szCs w:val="30"/>
        </w:rPr>
        <w:t xml:space="preserve"> почвы азота (легкогидролизуемого), то растения при коэффициенте его использования 20% сможет усвоить 60 кг/га азота. Остальные недостающие 45 кг/га азота надо внести в виде минеральных удобрений. При коэффициенте использования азота минеральных удобрений 60-70 кг/га азота.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На дерново-подзолистых или серых лесных почвах норма будет выше, так как из этих почв растения смогут использовать меньше азота.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Особое место среди бобовых культур занимает люпин, который не нуждается во внесении азотных удобрений.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Сроки внесения и способы заделки минеральных удобрений под зернобобовые культуры такие же, что и под яровые зерновые. Только желательно вносить калийные удобрения с меньшим содержанием хлора.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В рядки при посеве необходимо вносить гранулированный суперфосфат в дозе 10 кг/га Р</w:t>
      </w:r>
      <w:r w:rsidRPr="00955096">
        <w:rPr>
          <w:sz w:val="30"/>
          <w:szCs w:val="30"/>
          <w:vertAlign w:val="subscript"/>
        </w:rPr>
        <w:t>2</w:t>
      </w:r>
      <w:r w:rsidRPr="00955096">
        <w:rPr>
          <w:sz w:val="30"/>
          <w:szCs w:val="30"/>
        </w:rPr>
        <w:t>О</w:t>
      </w:r>
      <w:r w:rsidRPr="00955096">
        <w:rPr>
          <w:sz w:val="30"/>
          <w:szCs w:val="30"/>
          <w:vertAlign w:val="subscript"/>
        </w:rPr>
        <w:t>5</w:t>
      </w:r>
      <w:r w:rsidRPr="00955096">
        <w:rPr>
          <w:sz w:val="30"/>
          <w:szCs w:val="30"/>
        </w:rPr>
        <w:t xml:space="preserve">. Обработка семян нитрагином соответствующей группы повышает урожай зерна на 0,15-0,30 т/га. Кроме того, </w:t>
      </w:r>
      <w:proofErr w:type="gramStart"/>
      <w:r w:rsidRPr="00955096">
        <w:rPr>
          <w:sz w:val="30"/>
          <w:szCs w:val="30"/>
        </w:rPr>
        <w:t>зернобобовые</w:t>
      </w:r>
      <w:proofErr w:type="gramEnd"/>
      <w:r w:rsidRPr="00955096">
        <w:rPr>
          <w:sz w:val="30"/>
          <w:szCs w:val="30"/>
        </w:rPr>
        <w:t xml:space="preserve"> хорошо реагируют на обработку семян молибденсодержащим микроудобрениями, например, раствором молибденовокислого аммония или внекорневой подкормкой вегетирующих растений этим же раствором.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  <w:r w:rsidRPr="00955096">
        <w:rPr>
          <w:sz w:val="30"/>
          <w:szCs w:val="30"/>
        </w:rPr>
        <w:t>Непременное условие интенсивной технологии возделывания зернобобовых культур – это строгое соблюдение рекомендации по обработке почвы и интегрированной защите растений.</w:t>
      </w:r>
    </w:p>
    <w:p w:rsidR="007C66F7" w:rsidRPr="00955096" w:rsidRDefault="007C66F7" w:rsidP="007C66F7">
      <w:pPr>
        <w:ind w:firstLine="708"/>
        <w:jc w:val="both"/>
        <w:rPr>
          <w:sz w:val="30"/>
          <w:szCs w:val="30"/>
        </w:rPr>
      </w:pPr>
    </w:p>
    <w:p w:rsidR="007C66F7" w:rsidRDefault="007C66F7" w:rsidP="007C66F7">
      <w:pPr>
        <w:ind w:firstLine="720"/>
        <w:jc w:val="both"/>
        <w:rPr>
          <w:sz w:val="28"/>
          <w:szCs w:val="28"/>
        </w:rPr>
      </w:pPr>
    </w:p>
    <w:p w:rsidR="007C66F7" w:rsidRPr="009D0A99" w:rsidRDefault="007C66F7" w:rsidP="007C66F7">
      <w:pPr>
        <w:ind w:hanging="36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1. Каковы биологические особенности яровых зерновых культур</w:t>
      </w:r>
    </w:p>
    <w:p w:rsidR="007C66F7" w:rsidRPr="009D0A99" w:rsidRDefault="007C66F7" w:rsidP="007C66F7">
      <w:pPr>
        <w:ind w:hanging="36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2. Каковы биологические особенности зерновых культур</w:t>
      </w:r>
    </w:p>
    <w:p w:rsidR="007C66F7" w:rsidRPr="009D0A99" w:rsidRDefault="007C66F7" w:rsidP="007C66F7">
      <w:pPr>
        <w:ind w:hanging="36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3. Какие основные правила нужно учитывать при внесении навоза под кукурузу?</w:t>
      </w:r>
    </w:p>
    <w:p w:rsidR="007C66F7" w:rsidRPr="0064197B" w:rsidRDefault="007C66F7" w:rsidP="007C66F7">
      <w:pPr>
        <w:jc w:val="both"/>
        <w:rPr>
          <w:b/>
          <w:sz w:val="16"/>
          <w:szCs w:val="16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7C66F7" w:rsidRDefault="007C66F7" w:rsidP="007C66F7">
      <w:pPr>
        <w:ind w:firstLine="708"/>
        <w:jc w:val="both"/>
        <w:rPr>
          <w:b/>
          <w:sz w:val="30"/>
          <w:szCs w:val="30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grammar="clean"/>
  <w:defaultTabStop w:val="708"/>
  <w:characterSpacingControl w:val="doNotCompress"/>
  <w:savePreviewPicture/>
  <w:compat/>
  <w:rsids>
    <w:rsidRoot w:val="007C66F7"/>
    <w:rsid w:val="005F6ADD"/>
    <w:rsid w:val="007C66F7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2355</Words>
  <Characters>13430</Characters>
  <Application>Microsoft Office Word</Application>
  <DocSecurity>0</DocSecurity>
  <Lines>111</Lines>
  <Paragraphs>31</Paragraphs>
  <ScaleCrop>false</ScaleCrop>
  <Company/>
  <LinksUpToDate>false</LinksUpToDate>
  <CharactersWithSpaces>15754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2021-01-22T22:46:00Z</dcterms:created>
  <dcterms:modified xsi:type="dcterms:W3CDTF">2021-01-22T22:46:00Z</dcterms:modified>
</cp:coreProperties>
</file>